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94BA1" w:rsidRPr="00995654" w:rsidRDefault="00594BA1" w:rsidP="00594BA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94BA1" w:rsidRDefault="00594BA1" w:rsidP="00594B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100B4F">
        <w:rPr>
          <w:rFonts w:ascii="ＭＳ 明朝" w:hAnsi="ＭＳ 明朝" w:hint="eastAsia"/>
          <w:sz w:val="22"/>
          <w:szCs w:val="22"/>
        </w:rPr>
        <w:t>交通</w:t>
      </w:r>
      <w:r w:rsidR="00340BA4" w:rsidRPr="00340BA4">
        <w:rPr>
          <w:rFonts w:ascii="ＭＳ 明朝" w:hAnsi="ＭＳ 明朝" w:hint="eastAsia"/>
          <w:sz w:val="22"/>
          <w:szCs w:val="22"/>
        </w:rPr>
        <w:t>事故による損害賠償について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A7B5E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7B5E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7B5E" w:rsidRDefault="00CA7B5E" w:rsidP="00CA7B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A7B5E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7B5E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B5E" w:rsidRPr="00904CCC" w:rsidRDefault="00CA7B5E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00B4F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94BA1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A7B5E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4F5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2019-03-23T01:43:00Z</dcterms:modified>
</cp:coreProperties>
</file>